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Основний текст A"/>
        <w:spacing w:after="120"/>
        <w:jc w:val="right"/>
        <w:rPr>
          <w:b w:val="1"/>
          <w:bCs w:val="1"/>
          <w:sz w:val="26"/>
          <w:szCs w:val="26"/>
        </w:rPr>
      </w:pPr>
      <w:r>
        <w:rPr>
          <w:sz w:val="26"/>
          <w:szCs w:val="26"/>
        </w:rPr>
        <w:drawing>
          <wp:inline distT="0" distB="0" distL="0" distR="0">
            <wp:extent cx="5727700" cy="1471569"/>
            <wp:effectExtent l="0" t="0" r="0" b="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4715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Стандартний A"/>
        <w:rPr>
          <w:rFonts w:ascii="Times New Roman" w:hAnsi="Times New Roman"/>
          <w:b w:val="1"/>
          <w:bCs w:val="1"/>
          <w:sz w:val="26"/>
          <w:szCs w:val="26"/>
          <w:shd w:val="clear" w:color="auto" w:fill="ffffff"/>
        </w:rPr>
      </w:pPr>
    </w:p>
    <w:p>
      <w:pPr>
        <w:pStyle w:val="Стандартний A"/>
        <w:jc w:val="center"/>
        <w:rPr>
          <w:rFonts w:ascii="Times New Roman" w:hAnsi="Times New Roman"/>
          <w:sz w:val="26"/>
          <w:szCs w:val="26"/>
        </w:rPr>
      </w:pPr>
    </w:p>
    <w:p>
      <w:pPr>
        <w:pStyle w:val="Стандартний A"/>
        <w:jc w:val="center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Як протидіяти кібербулінгу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?</w:t>
      </w:r>
    </w:p>
    <w:p>
      <w:pPr>
        <w:pStyle w:val="Стандартний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Стандартний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Міжнародний фестиваль документального кіно про права людини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Docudays UA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підбив підсумки І етапу Кампанії проти кібербулінгу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Важливий результат Кампанії – буклет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який пояснює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як розпізнати кібербулінг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які на сьогодні існують реальні механізми протидії цькуванню в Інтернеті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куди звертатися та як діяти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якщо дитина зазнала психологічного й морального тиску в Інтернеті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Стандартний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Стандартний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 Україні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станом на початок квітня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року </w:t>
      </w:r>
      <w:r>
        <w:rPr>
          <w:rFonts w:ascii="Times New Roman" w:hAnsi="Times New Roman" w:hint="default"/>
          <w:sz w:val="26"/>
          <w:szCs w:val="26"/>
          <w:rtl w:val="0"/>
        </w:rPr>
        <w:t xml:space="preserve">було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винесено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48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постанов суду щодо булінгу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у шести з яких йшлося про інформаційні</w:t>
      </w:r>
      <w:r>
        <w:rPr>
          <w:rFonts w:ascii="Times New Roman" w:hAnsi="Times New Roman"/>
          <w:sz w:val="26"/>
          <w:szCs w:val="26"/>
          <w:rtl w:val="0"/>
          <w:lang w:val="ru-RU"/>
        </w:rPr>
        <w:t>-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комунікаційні технології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Стандартний A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У нашому законодавстві вже є визначення булінгу та адміністративна відповідальність за цькування в офлайні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Проте хоч закон і містить частину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що стосується використання інформаційних технологій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запропоновані законодавством заходи з протидії кібербулінгу недостатньо захищають дітей від насильства через Інтернет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– говорить аналітик правозахисного департаменту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Docudays UA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Богдан Мойса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>.</w:t>
      </w:r>
    </w:p>
    <w:p>
      <w:pPr>
        <w:pStyle w:val="Стандартний A"/>
        <w:jc w:val="both"/>
        <w:rPr>
          <w:rFonts w:ascii="Times New Roman" w:cs="Times New Roman" w:hAnsi="Times New Roman" w:eastAsia="Times New Roman"/>
          <w:sz w:val="26"/>
          <w:szCs w:val="26"/>
        </w:rPr>
      </w:pPr>
    </w:p>
    <w:p>
      <w:pPr>
        <w:pStyle w:val="Стандартний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А поки що швидкими рішеннями протидії кібербулінгу можуть стати звернення на гарячі лінії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електронні адреси й телефони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зібрані в буклеті проти кібербулінгу для дітей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батьків та всіх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кому не байдужа проблема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</w:p>
    <w:p>
      <w:pPr>
        <w:pStyle w:val="Стандартний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Іще один важливий результат І етапу Кампанії – Всеукраїнський конкурс для дітей «Кібербулінг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Як я перестав</w:t>
      </w:r>
      <w:r>
        <w:rPr>
          <w:rFonts w:ascii="Times New Roman" w:hAnsi="Times New Roman"/>
          <w:sz w:val="26"/>
          <w:szCs w:val="26"/>
          <w:rtl w:val="0"/>
          <w:lang w:val="ru-RU"/>
        </w:rPr>
        <w:t>/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перестала бути жертвою»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Переможці конкурсу розповіли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як вони самостійно вирішували проблему кібербулінгу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хто їм допомагав захиститися від нападників в онлайні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П’ять школярів з різних куточків України отримали цінні призи – планшети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кращі роботи учасників ляжуть в основу анімаційних документальних роликів на підтримку Кампанії проти кібербулінгу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Стандартний A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Ми хотіли не просто поговорити про проблему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ми хотіли зібрати й поширити певні варіанти її рішення з досвіду самих дітей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У наступному етапі Кампанії проти кібербулінгу ми організуємо надання юридичної допомоги дітям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які потерпають від кібербулінгу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та притягнення до відповідальності винуватців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Допоможе нам у цій роботі Українська Гельсінська спілка з прав людини»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– розповіла координаторка правозахисного департаменту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Docudays UA </w:t>
      </w: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Ксенія Шиманська</w:t>
      </w:r>
      <w:r>
        <w:rPr>
          <w:rFonts w:ascii="Times New Roman" w:hAnsi="Times New Roman"/>
          <w:b w:val="1"/>
          <w:bCs w:val="1"/>
          <w:sz w:val="26"/>
          <w:szCs w:val="26"/>
          <w:rtl w:val="0"/>
          <w:lang w:val="ru-RU"/>
        </w:rPr>
        <w:t xml:space="preserve">. </w:t>
      </w:r>
    </w:p>
    <w:p>
      <w:pPr>
        <w:pStyle w:val="Стандартний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rtl w:val="0"/>
          <w:lang w:val="ru-RU"/>
        </w:rPr>
        <w:t>Олександр Павліченко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 xml:space="preserve">член Управлінської ради фестивалю 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Docudays UA,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виконавчий директор Української Гельсінської спілки з прав людини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пояснив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де можна буде отримати юридичну допомогу</w:t>
      </w:r>
      <w:r>
        <w:rPr>
          <w:rFonts w:ascii="Times New Roman" w:hAnsi="Times New Roman"/>
          <w:sz w:val="26"/>
          <w:szCs w:val="26"/>
          <w:rtl w:val="0"/>
          <w:lang w:val="ru-RU"/>
        </w:rPr>
        <w:t>:</w:t>
      </w:r>
    </w:p>
    <w:p>
      <w:pPr>
        <w:pStyle w:val="Стандартний A"/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«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УГСПЛ надаватиме консультації юристів для потерпілих від кібербулінгу через мережу наших громадських приймалень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які є майже в усіх областях України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Крім того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плануємо також адвокатський супровід у судах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  <w:lang w:val="ru-RU"/>
        </w:rPr>
        <w:t>навіть у Європейському суді з прав людини</w:t>
      </w:r>
      <w:r>
        <w:rPr>
          <w:rFonts w:ascii="Times New Roman" w:hAnsi="Times New Roman" w:hint="default"/>
          <w:i w:val="1"/>
          <w:iCs w:val="1"/>
          <w:sz w:val="26"/>
          <w:szCs w:val="26"/>
          <w:rtl w:val="0"/>
        </w:rPr>
        <w:t>»</w:t>
      </w:r>
      <w:r>
        <w:rPr>
          <w:rFonts w:ascii="Times New Roman" w:hAnsi="Times New Roman"/>
          <w:i w:val="1"/>
          <w:iCs w:val="1"/>
          <w:sz w:val="26"/>
          <w:szCs w:val="26"/>
          <w:rtl w:val="0"/>
          <w:lang w:val="ru-RU"/>
        </w:rPr>
        <w:t xml:space="preserve">. </w:t>
      </w:r>
    </w:p>
    <w:p>
      <w:pPr>
        <w:pStyle w:val="Стандартний A"/>
        <w:jc w:val="both"/>
        <w:rPr>
          <w:rFonts w:ascii="Times New Roman" w:cs="Times New Roman" w:hAnsi="Times New Roman" w:eastAsia="Times New Roman"/>
          <w:sz w:val="26"/>
          <w:szCs w:val="26"/>
        </w:rPr>
      </w:pPr>
      <w:r>
        <w:rPr>
          <w:rFonts w:ascii="Times New Roman" w:hAnsi="Times New Roman" w:hint="default"/>
          <w:sz w:val="26"/>
          <w:szCs w:val="26"/>
          <w:rtl w:val="0"/>
          <w:lang w:val="ru-RU"/>
        </w:rPr>
        <w:t>Організатори кампанії закликають усіх не бути байдужими й звертатися по допомогу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Навіть якщо це трапилося не з вами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а з вашими друзями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знайомими – розкажіть їм</w:t>
      </w:r>
      <w:r>
        <w:rPr>
          <w:rFonts w:ascii="Times New Roman" w:hAnsi="Times New Roman"/>
          <w:sz w:val="26"/>
          <w:szCs w:val="26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6"/>
          <w:szCs w:val="26"/>
          <w:rtl w:val="0"/>
          <w:lang w:val="ru-RU"/>
        </w:rPr>
        <w:t>що про кібербулінг не можна мовчати</w:t>
      </w:r>
      <w:r>
        <w:rPr>
          <w:rFonts w:ascii="Times New Roman" w:hAnsi="Times New Roman"/>
          <w:sz w:val="26"/>
          <w:szCs w:val="26"/>
          <w:rtl w:val="0"/>
          <w:lang w:val="ru-RU"/>
        </w:rPr>
        <w:t>.</w:t>
      </w:r>
    </w:p>
    <w:p>
      <w:pPr>
        <w:pStyle w:val="Стандартний A"/>
        <w:jc w:val="both"/>
      </w:pPr>
      <w:r>
        <w:rPr>
          <w:rFonts w:ascii="Times New Roman" w:hAnsi="Times New Roman"/>
          <w:sz w:val="26"/>
          <w:szCs w:val="26"/>
          <w:rtl w:val="0"/>
          <w:lang w:val="ru-RU"/>
        </w:rPr>
        <w:t xml:space="preserve">  </w:t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20" w:footer="720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ий текст A">
    <w:name w:val="Основний текст A"/>
    <w:next w:val="Основни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Стандартний A">
    <w:name w:val="Стандартний A"/>
    <w:next w:val="Стандартний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